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D55" w:rsidRPr="00B54499" w:rsidRDefault="00275D55" w:rsidP="00275D5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</w:pPr>
    </w:p>
    <w:tbl>
      <w:tblPr>
        <w:tblpPr w:leftFromText="180" w:rightFromText="180" w:vertAnchor="page" w:horzAnchor="margin" w:tblpY="117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275D55" w:rsidRPr="00B54499" w:rsidTr="00626A5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B54499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275D55" w:rsidRPr="00B54499" w:rsidRDefault="00275D55" w:rsidP="00626A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275D55" w:rsidRPr="00B54499" w:rsidRDefault="00275D55" w:rsidP="00626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275D55" w:rsidRPr="00B54499" w:rsidTr="00626A5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75D55" w:rsidRPr="00B54499" w:rsidRDefault="00275D55" w:rsidP="00626A51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75D55" w:rsidRPr="00B54499" w:rsidRDefault="00275D55" w:rsidP="00626A51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275D55" w:rsidRPr="00B54499" w:rsidTr="00626A5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75D55" w:rsidRPr="00B54499" w:rsidRDefault="00275D55" w:rsidP="00626A51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75D55" w:rsidRPr="00B54499" w:rsidRDefault="00275D55" w:rsidP="00626A51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А Р А Р</w:t>
            </w:r>
          </w:p>
          <w:p w:rsidR="00275D55" w:rsidRPr="00B54499" w:rsidRDefault="00275D55" w:rsidP="00626A51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275D55" w:rsidRPr="00B54499" w:rsidTr="00626A5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75D55" w:rsidRPr="00B54499" w:rsidRDefault="00275D55" w:rsidP="00626A51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626A51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75D55" w:rsidRPr="00B54499" w:rsidRDefault="00670EFA" w:rsidP="00626A51">
            <w:pPr>
              <w:tabs>
                <w:tab w:val="left" w:pos="850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2020 елның </w:t>
            </w:r>
            <w:r w:rsidR="00626A5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мае</w:t>
            </w:r>
          </w:p>
        </w:tc>
      </w:tr>
    </w:tbl>
    <w:p w:rsidR="00670EFA" w:rsidRPr="00003894" w:rsidRDefault="00670EFA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авыл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җирлекләренең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Җ</w:t>
      </w:r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>ирдән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файдалану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һәм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төзелеш</w:t>
      </w:r>
      <w:proofErr w:type="spellEnd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кагыйдәләренә</w:t>
      </w:r>
      <w:proofErr w:type="spellEnd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>үзгәрешләр</w:t>
      </w:r>
      <w:proofErr w:type="spellEnd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кертү</w:t>
      </w:r>
      <w:proofErr w:type="spellEnd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турында</w:t>
      </w:r>
      <w:proofErr w:type="spellEnd"/>
    </w:p>
    <w:p w:rsidR="00900773" w:rsidRDefault="00900773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51" w:rsidRPr="00003894" w:rsidRDefault="00626A51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EFA" w:rsidRPr="00003894" w:rsidRDefault="00670EFA" w:rsidP="00900773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Россия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Федерациясе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Шәһәр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төзелеше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кодексының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33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статьясы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,</w:t>
      </w:r>
      <w:r w:rsidRPr="00670EFA">
        <w:t xml:space="preserve"> </w:t>
      </w:r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«Россия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Федерациясендә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җирле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үзидарә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оештыру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ның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гомуми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принциплары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турында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»</w:t>
      </w:r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2003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елның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6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октябрендәге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131-ФЗ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номерл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Федераль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законның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14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статьясы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нигезендә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Түбән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Кама </w:t>
      </w:r>
      <w:proofErr w:type="spellStart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муниципаль</w:t>
      </w:r>
      <w:proofErr w:type="spellEnd"/>
      <w:r w:rsidRPr="00670EF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районы Советы</w:t>
      </w:r>
    </w:p>
    <w:p w:rsidR="00900773" w:rsidRPr="00003894" w:rsidRDefault="00900773" w:rsidP="00900773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003894" w:rsidRDefault="00670EFA" w:rsidP="00900773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КАРАР БИРӘ</w:t>
      </w:r>
      <w:r w:rsidR="001E75C9"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:</w:t>
      </w:r>
    </w:p>
    <w:p w:rsidR="00900773" w:rsidRPr="00003894" w:rsidRDefault="00900773" w:rsidP="00900773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670EFA" w:rsidRPr="00626A51" w:rsidRDefault="00670EFA" w:rsidP="00626A51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07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Түбән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районы</w:t>
      </w:r>
      <w:r w:rsidRPr="00626A5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җирлекләренең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Җир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дән</w:t>
      </w:r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файдалану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һәм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төзелеш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кагыйдәләренең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III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өлешенең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11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бүлегенең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35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статьясына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кертелә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торган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үзгәрешләрне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626A5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иң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чик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724553"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араметрларның</w:t>
      </w:r>
      <w:proofErr w:type="spellEnd"/>
      <w:r w:rsidR="00724553" w:rsidRPr="00626A5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Pr="00626A5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кишәрлекнең ян чикләреннән төзелмәләрнең минималь чигенеше»</w:t>
      </w:r>
      <w:r w:rsidR="005D737D"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өлешендә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24553" w:rsidRPr="00626A5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торак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зоналар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һәм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бакчач</w:t>
      </w:r>
      <w:r w:rsidR="00724553"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ылык</w:t>
      </w:r>
      <w:proofErr w:type="spellEnd"/>
      <w:r w:rsidR="00724553"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553"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зоналары</w:t>
      </w:r>
      <w:proofErr w:type="spellEnd"/>
      <w:r w:rsidR="00724553"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дача </w:t>
      </w:r>
      <w:proofErr w:type="spellStart"/>
      <w:r w:rsidR="00724553"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участоклары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4553"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724553" w:rsidRPr="00626A5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Җ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ир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кишәрлекләре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һәм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капиталь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төзелеш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объектларының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4553" w:rsidRPr="00626A5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иң </w:t>
      </w:r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чик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параметрлары</w:t>
      </w:r>
      <w:proofErr w:type="spellEnd"/>
      <w:r w:rsidR="00724553"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таблицасында</w:t>
      </w:r>
      <w:proofErr w:type="spellEnd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таблица </w:t>
      </w:r>
      <w:proofErr w:type="spellStart"/>
      <w:r w:rsidRPr="00626A51">
        <w:rPr>
          <w:rFonts w:ascii="Times New Roman" w:eastAsia="Calibri" w:hAnsi="Times New Roman" w:cs="Times New Roman"/>
          <w:sz w:val="28"/>
          <w:szCs w:val="28"/>
          <w:lang w:eastAsia="ru-RU"/>
        </w:rPr>
        <w:t>нигезендә</w:t>
      </w:r>
      <w:proofErr w:type="spellEnd"/>
      <w:r w:rsidR="00724553" w:rsidRPr="00626A5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расларга:</w:t>
      </w:r>
    </w:p>
    <w:p w:rsidR="00626A51" w:rsidRPr="00626A51" w:rsidRDefault="00626A51" w:rsidP="00626A51">
      <w:pPr>
        <w:autoSpaceDE w:val="0"/>
        <w:autoSpaceDN w:val="0"/>
        <w:adjustRightInd w:val="0"/>
        <w:spacing w:after="0" w:line="307" w:lineRule="exact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25"/>
        <w:gridCol w:w="3827"/>
        <w:gridCol w:w="3827"/>
      </w:tblGrid>
      <w:tr w:rsidR="00AC308F" w:rsidRPr="00626A51" w:rsidTr="00900773">
        <w:tc>
          <w:tcPr>
            <w:tcW w:w="2552" w:type="dxa"/>
            <w:gridSpan w:val="2"/>
          </w:tcPr>
          <w:p w:rsidR="00AC308F" w:rsidRPr="00724553" w:rsidRDefault="00724553" w:rsidP="00BF6225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  <w:t>П</w:t>
            </w:r>
            <w:r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  <w:t>араметрлар төрләре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  <w:t xml:space="preserve"> һәм үлчәү берәмлекләре</w:t>
            </w:r>
          </w:p>
        </w:tc>
        <w:tc>
          <w:tcPr>
            <w:tcW w:w="3827" w:type="dxa"/>
          </w:tcPr>
          <w:p w:rsidR="00AC308F" w:rsidRDefault="00724553" w:rsidP="00AC308F">
            <w:pPr>
              <w:widowControl w:val="0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</w:pPr>
            <w:r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  <w:t>Күчемсез милекне файдалануның төп рөхсәт ителгән төрләренә карата параметрларның кыйммәте (үзгәрешләр керткәнче)</w:t>
            </w:r>
          </w:p>
          <w:p w:rsidR="00626A51" w:rsidRPr="00724553" w:rsidRDefault="00626A51" w:rsidP="00AC308F">
            <w:pPr>
              <w:widowControl w:val="0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</w:pPr>
          </w:p>
        </w:tc>
        <w:tc>
          <w:tcPr>
            <w:tcW w:w="3827" w:type="dxa"/>
          </w:tcPr>
          <w:p w:rsidR="00AC308F" w:rsidRPr="00724553" w:rsidRDefault="00724553" w:rsidP="00BF6225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</w:pPr>
            <w:r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  <w:t>Күчемсез милекне файдалануның төп рөхсәт ителгән төрләренә карата параметрларның кыйммәте (үзгәрешләр керткәннән соң)</w:t>
            </w:r>
          </w:p>
        </w:tc>
      </w:tr>
      <w:tr w:rsidR="00AC308F" w:rsidRPr="00003894" w:rsidTr="00900773">
        <w:tc>
          <w:tcPr>
            <w:tcW w:w="2127" w:type="dxa"/>
          </w:tcPr>
          <w:p w:rsidR="00AC308F" w:rsidRDefault="00724553" w:rsidP="00BF6225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</w:pPr>
            <w:r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  <w:t>Кишәрлекнең ян чикләреннән төзелмәләрнең минималь чигенеше</w:t>
            </w:r>
          </w:p>
          <w:p w:rsidR="00626A51" w:rsidRPr="00724553" w:rsidRDefault="00626A51" w:rsidP="00BF6225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</w:pPr>
          </w:p>
        </w:tc>
        <w:tc>
          <w:tcPr>
            <w:tcW w:w="425" w:type="dxa"/>
          </w:tcPr>
          <w:p w:rsidR="00AC308F" w:rsidRPr="00003894" w:rsidRDefault="00AC308F" w:rsidP="00BF6225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827" w:type="dxa"/>
          </w:tcPr>
          <w:p w:rsidR="00AC308F" w:rsidRPr="00003894" w:rsidRDefault="00AC308F" w:rsidP="00AC308F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ab/>
              <w:t>а) 1 -</w:t>
            </w:r>
            <w:r w:rsid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брандмауэр</w:t>
            </w:r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дивары</w:t>
            </w:r>
            <w:proofErr w:type="spellEnd"/>
            <w:r w:rsid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  <w:t xml:space="preserve"> мәҗбүри булганда</w:t>
            </w:r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;</w:t>
            </w:r>
          </w:p>
          <w:p w:rsidR="00AC308F" w:rsidRPr="00724553" w:rsidRDefault="00724553" w:rsidP="00AC308F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ab/>
              <w:t xml:space="preserve">б) 5 – башка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  <w:t>очракларда</w:t>
            </w:r>
          </w:p>
        </w:tc>
        <w:tc>
          <w:tcPr>
            <w:tcW w:w="3827" w:type="dxa"/>
          </w:tcPr>
          <w:p w:rsidR="00AC308F" w:rsidRPr="00003894" w:rsidRDefault="00AC308F" w:rsidP="00BF6225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а) 0 - </w:t>
            </w:r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брандмауэр </w:t>
            </w:r>
            <w:proofErr w:type="spellStart"/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дивары</w:t>
            </w:r>
            <w:proofErr w:type="spellEnd"/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мәҗбүри</w:t>
            </w:r>
            <w:proofErr w:type="spellEnd"/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булганда</w:t>
            </w:r>
            <w:proofErr w:type="spellEnd"/>
            <w:r w:rsidR="00724553" w:rsidRPr="0072455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;</w:t>
            </w:r>
          </w:p>
          <w:p w:rsidR="00AC308F" w:rsidRPr="00724553" w:rsidRDefault="00724553" w:rsidP="00BF6225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б) 3 – башка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tt-RU" w:eastAsia="ru-RU"/>
              </w:rPr>
              <w:t>очракларда</w:t>
            </w:r>
          </w:p>
        </w:tc>
      </w:tr>
    </w:tbl>
    <w:p w:rsidR="001E75C9" w:rsidRPr="00626A51" w:rsidRDefault="00724553" w:rsidP="00626A51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карарны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массакүләм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мәгълүмат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чараларының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матбугат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басмаларында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районы</w:t>
      </w:r>
      <w:r w:rsidR="005D737D"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ның</w:t>
      </w:r>
      <w:proofErr w:type="spellEnd"/>
      <w:r w:rsidR="005D737D"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737D"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рәсми</w:t>
      </w:r>
      <w:proofErr w:type="spellEnd"/>
      <w:r w:rsidR="005D737D"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737D"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ында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бастырып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чыгарырга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A51" w:rsidRPr="00626A51" w:rsidRDefault="00626A51" w:rsidP="00626A51">
      <w:pPr>
        <w:pStyle w:val="a6"/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626A51" w:rsidRDefault="005D737D" w:rsidP="00626A5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Җирдән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файдалану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һәм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төзелеш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кагыйдәләрен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кертелгән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үзгәрешләр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белән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Россия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Федерациясе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планлаштыру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дәүләт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мәгълүмат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системасын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</w:t>
      </w:r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а (РФ ТП ФД</w:t>
      </w:r>
      <w:bookmarkStart w:id="0" w:name="_GoBack"/>
      <w:bookmarkEnd w:id="0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МС)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һәм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районының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рәсми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сайтында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урнаштырырга</w:t>
      </w:r>
      <w:proofErr w:type="spellEnd"/>
      <w:r w:rsidRPr="00626A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A51" w:rsidRPr="00626A51" w:rsidRDefault="00626A51" w:rsidP="00626A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003894" w:rsidRDefault="00DF140D" w:rsidP="00626A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0038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75C9" w:rsidRPr="000038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75C9"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Әлеге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карарның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үтәлешен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контрольдә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тотуны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төзелеш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җир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төзелеше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торак-коммуналь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хуҗалык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һәм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транспорт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буенча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даими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комиссиягә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йөкләнә</w:t>
      </w:r>
      <w:proofErr w:type="spellEnd"/>
      <w:r w:rsidR="005D737D" w:rsidRPr="005D737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</w:p>
    <w:p w:rsidR="001E75C9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51" w:rsidRDefault="00626A51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51" w:rsidRPr="00003894" w:rsidRDefault="00626A51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37D" w:rsidRPr="005D737D" w:rsidRDefault="005D737D" w:rsidP="005D73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D737D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</w:t>
      </w:r>
    </w:p>
    <w:p w:rsidR="00900773" w:rsidRPr="00003894" w:rsidRDefault="005D737D" w:rsidP="005D737D">
      <w:pPr>
        <w:spacing w:after="0" w:line="240" w:lineRule="auto"/>
        <w:rPr>
          <w:sz w:val="28"/>
          <w:szCs w:val="28"/>
        </w:rPr>
      </w:pPr>
      <w:r w:rsidRPr="005D737D">
        <w:rPr>
          <w:rFonts w:ascii="Times New Roman" w:hAnsi="Times New Roman" w:cs="Times New Roman"/>
          <w:sz w:val="28"/>
          <w:szCs w:val="28"/>
          <w:lang w:val="tt-RU"/>
        </w:rPr>
        <w:t xml:space="preserve">районы Башлыгы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26A51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proofErr w:type="spellStart"/>
      <w:r w:rsidR="00900773" w:rsidRPr="00003894"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sectPr w:rsidR="00900773" w:rsidRPr="00003894" w:rsidSect="00626A51">
      <w:pgSz w:w="11906" w:h="16838"/>
      <w:pgMar w:top="1135" w:right="566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40483"/>
    <w:multiLevelType w:val="hybridMultilevel"/>
    <w:tmpl w:val="AA5284AA"/>
    <w:lvl w:ilvl="0" w:tplc="A0FEAE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03894"/>
    <w:rsid w:val="000975EE"/>
    <w:rsid w:val="000A391E"/>
    <w:rsid w:val="000F3516"/>
    <w:rsid w:val="001111D5"/>
    <w:rsid w:val="001112E6"/>
    <w:rsid w:val="00125AB2"/>
    <w:rsid w:val="00142754"/>
    <w:rsid w:val="00180E11"/>
    <w:rsid w:val="001C5CA4"/>
    <w:rsid w:val="001C67CF"/>
    <w:rsid w:val="001E75C9"/>
    <w:rsid w:val="00226E7F"/>
    <w:rsid w:val="00231BA2"/>
    <w:rsid w:val="00237AA5"/>
    <w:rsid w:val="002458AC"/>
    <w:rsid w:val="00275D55"/>
    <w:rsid w:val="002A5B18"/>
    <w:rsid w:val="002B08F5"/>
    <w:rsid w:val="002F0207"/>
    <w:rsid w:val="0030339D"/>
    <w:rsid w:val="00306343"/>
    <w:rsid w:val="00316977"/>
    <w:rsid w:val="0033412B"/>
    <w:rsid w:val="003412FF"/>
    <w:rsid w:val="003417A4"/>
    <w:rsid w:val="00385D33"/>
    <w:rsid w:val="003A4162"/>
    <w:rsid w:val="003C3D76"/>
    <w:rsid w:val="003E604B"/>
    <w:rsid w:val="003F1D1E"/>
    <w:rsid w:val="00434CA1"/>
    <w:rsid w:val="00445A24"/>
    <w:rsid w:val="0047754B"/>
    <w:rsid w:val="0049204D"/>
    <w:rsid w:val="004B43E0"/>
    <w:rsid w:val="004D5640"/>
    <w:rsid w:val="005156A4"/>
    <w:rsid w:val="005212B7"/>
    <w:rsid w:val="005D737D"/>
    <w:rsid w:val="005D7F0B"/>
    <w:rsid w:val="005E138C"/>
    <w:rsid w:val="00626541"/>
    <w:rsid w:val="00626A51"/>
    <w:rsid w:val="00627BCC"/>
    <w:rsid w:val="00633E97"/>
    <w:rsid w:val="006439C9"/>
    <w:rsid w:val="00657C1A"/>
    <w:rsid w:val="00670EFA"/>
    <w:rsid w:val="006975FA"/>
    <w:rsid w:val="00724553"/>
    <w:rsid w:val="00760BF2"/>
    <w:rsid w:val="007821A0"/>
    <w:rsid w:val="007B0C43"/>
    <w:rsid w:val="007C46E7"/>
    <w:rsid w:val="007C5973"/>
    <w:rsid w:val="00834AEC"/>
    <w:rsid w:val="008473C6"/>
    <w:rsid w:val="00853491"/>
    <w:rsid w:val="00853B13"/>
    <w:rsid w:val="00863A3D"/>
    <w:rsid w:val="008904E1"/>
    <w:rsid w:val="00895FD0"/>
    <w:rsid w:val="008C4B2C"/>
    <w:rsid w:val="008D25BC"/>
    <w:rsid w:val="00900773"/>
    <w:rsid w:val="009117E3"/>
    <w:rsid w:val="00912B1A"/>
    <w:rsid w:val="009421B9"/>
    <w:rsid w:val="0098233D"/>
    <w:rsid w:val="0098536A"/>
    <w:rsid w:val="00A151FE"/>
    <w:rsid w:val="00A16003"/>
    <w:rsid w:val="00A22461"/>
    <w:rsid w:val="00A5216E"/>
    <w:rsid w:val="00A6194A"/>
    <w:rsid w:val="00A762B5"/>
    <w:rsid w:val="00A86821"/>
    <w:rsid w:val="00AA010D"/>
    <w:rsid w:val="00AA3389"/>
    <w:rsid w:val="00AC24A8"/>
    <w:rsid w:val="00AC308F"/>
    <w:rsid w:val="00AF35DE"/>
    <w:rsid w:val="00B27247"/>
    <w:rsid w:val="00B3202F"/>
    <w:rsid w:val="00B37745"/>
    <w:rsid w:val="00B37E9E"/>
    <w:rsid w:val="00B47B02"/>
    <w:rsid w:val="00B56FA3"/>
    <w:rsid w:val="00BB3ABF"/>
    <w:rsid w:val="00BC0C06"/>
    <w:rsid w:val="00BF40BB"/>
    <w:rsid w:val="00BF6225"/>
    <w:rsid w:val="00BF725C"/>
    <w:rsid w:val="00C8760E"/>
    <w:rsid w:val="00C95697"/>
    <w:rsid w:val="00D03453"/>
    <w:rsid w:val="00D12200"/>
    <w:rsid w:val="00D34F8D"/>
    <w:rsid w:val="00D56C0D"/>
    <w:rsid w:val="00D705B4"/>
    <w:rsid w:val="00D74872"/>
    <w:rsid w:val="00D823D2"/>
    <w:rsid w:val="00D84AB6"/>
    <w:rsid w:val="00D857C6"/>
    <w:rsid w:val="00DB5E86"/>
    <w:rsid w:val="00DF140D"/>
    <w:rsid w:val="00DF5F07"/>
    <w:rsid w:val="00E22670"/>
    <w:rsid w:val="00E31198"/>
    <w:rsid w:val="00E34336"/>
    <w:rsid w:val="00E62E33"/>
    <w:rsid w:val="00EC4FC2"/>
    <w:rsid w:val="00F26E2C"/>
    <w:rsid w:val="00F475B2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A2312B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18</cp:revision>
  <cp:lastPrinted>2020-05-18T10:42:00Z</cp:lastPrinted>
  <dcterms:created xsi:type="dcterms:W3CDTF">2020-04-06T06:12:00Z</dcterms:created>
  <dcterms:modified xsi:type="dcterms:W3CDTF">2020-05-20T10:16:00Z</dcterms:modified>
</cp:coreProperties>
</file>